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1F72" w:rsidRPr="003F6EEA" w:rsidRDefault="00981F72" w:rsidP="003F6EEA">
      <w:pPr>
        <w:widowControl/>
        <w:wordWrap/>
        <w:jc w:val="left"/>
        <w:rPr>
          <w:rFonts w:eastAsia="Times New Roman" w:hAnsi="Tahoma"/>
          <w:color w:val="000000"/>
          <w:sz w:val="22"/>
        </w:rPr>
      </w:pP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Doc.dr.sc.Korolija-Marinić Dragan, prof.v.š.dr.med.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Abdominalni kirurg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b/>
          <w:color w:val="000000"/>
          <w:sz w:val="28"/>
          <w:szCs w:val="28"/>
        </w:rPr>
      </w:pPr>
      <w:r w:rsidRPr="003F6EEA">
        <w:rPr>
          <w:rFonts w:eastAsia="Times New Roman" w:hAnsi="Tahoma"/>
          <w:b/>
          <w:color w:val="000000"/>
          <w:sz w:val="28"/>
          <w:szCs w:val="28"/>
        </w:rPr>
        <w:t xml:space="preserve">Curriculum vitae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Rođen sam u veljači 1964.g., u Zadru, gdje sam završio osnovnu i srednju školu. Potom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upisao na Medicinski fakultet u Zagrebu, 1983.g. Diplomirao u svibnju 1988.g., sa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prosjekom studija odličan. Nakon diplome, iste godine dobio nagradu Grada Zadra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kao najbolji student na području Općine Zadar.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Pripravnički staž obavio u Zagrebu i položio stručni ispit 1989.g. Radio kraće vrijeme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kao liječnik opće prakse, te u listopadu 1990.g., počeo specijalizaciju iz opće kirurgije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u KBC Split. Za vrijeme specijalizacije prošao sve kirurške odjele te savladao osnove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laparoskopske kirurgije.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Aktivni sudionik Domovinskog rata- hrvatski dragovoljac, kao član mobilne kirurške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ekipe KBC-a Split za vrijeme oslobađanja Južnog bojišta (Ston, Dubrovnik).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Govorim engleski i talijanski jezik.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Nakon položenog specijalističkog ispita radio kao kirurg na Kirurškom Odjelu Opće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Bolnice Zabok. Na Kirurškoj Klinici KBC-a Zagreb, zaposlen od 2.svibnja 2001.g.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U srpnju 2012.g., imenovan za Ravnatelja Kliničke bolnice Dubrava, te potom u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travnju 2013.g., za Sanacijskog upravitelj KB Dubrava.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U rujnu 2013.g., izabran u nastavno zvanje profesora visoke škole na zdravstvenom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veleučilištu u Zagrebu, te u travnju 2014.g., izabran u znanstveno-nastavno zvanje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docenta na sveučilištu sjever, nakon pozitivnog mišljenja Fakultetskog vijeća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Medicinskog fakulteta Sveučilišta u Rijeci.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Završio postdiplomski studij na Medicinskom Fakultetu u Zagrebu, te obranio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magistarsku disertaciju u ožujku 1999.g. Naslov disertacije glasi: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OCJENA ANTIBIOTSKE PROFILAKSE U ELEKTIVNOJ KOLOREKTALNOJ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KIRURGIJI META-ANALIZOM.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Potom, na Medicinskom Fakultetu u Zagrebu, u veljači 2001.g., obranio doktorsku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disertaciju pod naslovom: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META-ANALITIČKA PROCJENA PREDNOSTI LAPAROSKOPSKE NASUPROT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KONVENCIONALNOJ KOLOREKTALNOJ KIRURGIJI, </w:t>
      </w:r>
    </w:p>
    <w:p w:rsidR="00981F72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te stekao naslov doktora znanosti iz područja biomedicine. </w:t>
      </w:r>
      <w:r w:rsidRPr="003F6EEA">
        <w:rPr>
          <w:rFonts w:eastAsia="Times New Roman" w:hAnsi="Tahoma"/>
          <w:color w:val="000000"/>
        </w:rPr>
        <w:cr/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U svibnju 2000.-te godine pohađao i završio tečaj iz «gasless» laparoskopske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kirurgije (bez primjene plina u trbuhu) u bolnici Pio X, u Milanu, Italija. U rujnu iste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godine bio na edukaciji u European Surgical Institute (ESI) u Hamburgu, Njemačka.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Tamo sam prošao edukaciju iz područja laparoskopske kolorektalne kirurgije, te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dobio licencu za izvođenje takovih zahvata.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Tijekom srpnja i kolovoza, 2002.-ge godine, boravio u Oxford-u, Velika Britanija, u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Center for Evidence Based Medicine. U Oxford-u prošao dvotjednu dodatnu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edukaciju iz medicine utemeljene na dokazima (EBM).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U prosincu 2002.g., imenovan, od strane Evropskog udruženja endoskopske kirurgije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(European Association for Endoscopic Surgery – E.A.E.S.) za jednog od trojice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organizatora konsenzus konferencije o kvaliteti života nakon laparoskopske kirurgije.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Konsenzus konferencija održana je 16.-17. svibnja 2003.g., u Kelnu, Njemačka.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Rezultati te konferencije tj. smjernice (guideilines) pod naslovom: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Evaluation of Quality of Life after Laparoscopic Surgery: Evidence-based Guidelines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lastRenderedPageBreak/>
        <w:t xml:space="preserve">of the European Association for Endoscopic Surgery.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prikazani su na: 11th International Congress of The European Association for Endoscopic Surgery,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održanom 15-18. lipnja, 2003.-će godine.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Nakon toga imenovan za recenzenta u stručnom časopisu Surgical Endoscopy.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Ovo stručno glasilo predstavlja jednu od najvažnijih stručnih publikacija iz područja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laparoskopije, sa impact factor-om 2,7. Do sada obavio dvadeset recenzija za radove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autora koji redovito dolaze iz država Evropske Unije. </w:t>
      </w:r>
      <w:r w:rsidRPr="003F6EEA">
        <w:rPr>
          <w:rFonts w:eastAsia="Times New Roman" w:hAnsi="Tahoma"/>
          <w:color w:val="000000"/>
        </w:rPr>
        <w:cr/>
      </w:r>
    </w:p>
    <w:p w:rsid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NASTAVA: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Dodiplomska nastava: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Medicinski fakultet u Zagrebu, Mali izborni predmet: LAPAROSKOPSKA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KIRURGIJA, voditelj Prof.dr.sc. Mate Škegro - 27 sati, svibanj 2005.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Poslijediplomska nastava: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Medicinski Fakultet u Zagrebu, poslijediplomski doktorski studij, metodološki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kolegiji: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1. Osobitosti kliničkih medicinskih istraživanja, voditelj Igor Francetić.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Tema: Klinička medicinska istraživanja u kirurškim strukama.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7 sati po predmetu godišnje = ukupno 42 sata (2004-2009.g.)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2. Medicinska praksa zasnovana na dokazima, voditelji Žarko Alfirević, Igor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Francetić i Ratko Matijević.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Tema: Izrada i evaluacija kliničkih smjernica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3 sata po predmetu godišnje = ukupno 18 sati (2004-2009 g.) </w:t>
      </w:r>
      <w:r w:rsidRPr="003F6EEA">
        <w:rPr>
          <w:rFonts w:eastAsia="Times New Roman" w:hAnsi="Tahoma"/>
          <w:color w:val="000000"/>
        </w:rPr>
        <w:cr/>
        <w:t xml:space="preserve">Medicinski Fakultet u Zagrebu, granski poslijediplomski doktorski studij, pod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naslovom: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3. Postavljanje i dijagnoze smrti mozga i potpora do eksplantacije solidnih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organa, voditelji Josip Pasini i Vesna Vegar-Brozović.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Tema: Praćenje transplantacijske medicine sustavom „Evidence-based medicine“.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Od 2004.g., 1 sat godišnje = ukupno 5 sati.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Medicinski fakultet u Splitu, poslijediplomski studij, kolegij pod naslovom: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Kirurgija utemeljena na dokazima (prosinac 2009), voditelj prof.dr.sc. Nikica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Družijanić, 8 sati godišnje = ukupno 8 sati.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U suradnji sa doc.dr.sc. Mate Škegro, voditelj prvog poslijediplomskog tečaja stalnog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medicinskog usavršavanja prve kategorije, pod naslovom: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LAPAROSKOPSKI PRISTUP VENTRALNOJ HERNIJI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Tečaj je održan od 18-19 veljače 2005.g., te je imao međunarodni karakter budući da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su i predavači i polaznici dolazili iz više evropskih država uključujući Španjolsku i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Sloveniju.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U travnju 2001.g., bio u radnom predsjedništvu simpozija održanog na Medicinskom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Fakultetu u Zagrebu. Naslov simpozija glasio je: TELEMEDICINA i TELEKIRURGIJA </w:t>
      </w:r>
      <w:r w:rsidRPr="003F6EEA">
        <w:rPr>
          <w:rFonts w:eastAsia="Times New Roman" w:hAnsi="Tahoma"/>
          <w:color w:val="000000"/>
        </w:rPr>
        <w:cr/>
      </w:r>
    </w:p>
    <w:p w:rsid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</w:p>
    <w:p w:rsid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Publikacije: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Current contents – 10 publikacija, 176 WOS citata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1. Persec J, Persec Z, Kopljar M et al. Low-dose dexamethason with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levobipuvacaine improves analgesia after supraclavicular brachial plexus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blockade. International Orthopaedics 2014; 38: 101-105.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2. Augustin G, Bruketa T, Korolija D et al. Lower Incidence of Hepatic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Metastases in Patients with Chronic Liver Diseases: Meta-analysis.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Hepatogastroenterology 2013: 60: 1165-1168.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lastRenderedPageBreak/>
        <w:t xml:space="preserve">3. The Use of Color Duplex Ultrasound and Magnetice Resonance Imaging in the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Dissolution of Idiopathic Recurrent Priapism in Patient with Congenital Penile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Curvature- Acase Report. Collegium Antropologicum 2013; 37: 305-308.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4. Augustin G., Korolija D., Skegro M, Jakić-Razumović J. Suture granuloma of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the abdominal wall with intra-abdominal extension 12 years after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appendectomy. World Journal of Gastroenterology 2009; 15: 4083-4086.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5. Korolija D. The current evidence on stapled versus hand-sewn anastomoses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in the digestive tract. Minimally Invasive Therapy &amp; Allied Technologies: Mitat.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2008;17: 151-154Korolija D, Wood-Dauphinee S, Pointner R. Patient-reported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outcomes.How important are they? Surg Endosc 2007; 21: 503-507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6. Korolija D, Wood-Dauphinee S, Pointner R. Patient-reported outcomes.How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important are they? Surg Endosc 2007; 21: 503-507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7. Wood-Dapuhinee S. Korolija D. Symptoms, health-related quality of life and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patient satisfaction: Using these patient-reported outcomes in people with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gastroesophageal reflux disease. GASTROESOPHAGEAL REFLUX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DISEASE: PRINCIPLES OF DISEASE, DIAGNOSIS, AND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>TREATMENT.PG.269-285.2006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8. Kušec S., Orešković S., Skegro M., Korolija D., Bušić Z., Horzić M. Improving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comprehension of informed consent. Patient education &amp; Counseling 2006; </w:t>
      </w:r>
    </w:p>
    <w:p w:rsidR="000131E8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60:294-300.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>9. D. Korolija</w:t>
      </w:r>
      <w:r w:rsidR="000131E8">
        <w:rPr>
          <w:rFonts w:eastAsia="Times New Roman" w:hAnsi="Tahoma"/>
          <w:color w:val="000000"/>
        </w:rPr>
        <w:t>,</w:t>
      </w:r>
      <w:r w:rsidRPr="003F6EEA">
        <w:rPr>
          <w:rFonts w:eastAsia="Times New Roman" w:hAnsi="Tahoma"/>
          <w:color w:val="000000"/>
        </w:rPr>
        <w:t xml:space="preserve"> S. Sauerland</w:t>
      </w:r>
      <w:r w:rsidR="000131E8">
        <w:rPr>
          <w:rFonts w:eastAsia="Times New Roman" w:hAnsi="Tahoma"/>
          <w:color w:val="000000"/>
        </w:rPr>
        <w:t xml:space="preserve"> </w:t>
      </w:r>
      <w:r w:rsidRPr="003F6EEA">
        <w:rPr>
          <w:rFonts w:eastAsia="Times New Roman" w:hAnsi="Tahoma"/>
          <w:color w:val="000000"/>
        </w:rPr>
        <w:t>, S. Wood-Dauphinée3</w:t>
      </w:r>
      <w:r w:rsidR="000131E8">
        <w:rPr>
          <w:rFonts w:eastAsia="Times New Roman" w:hAnsi="Tahoma"/>
          <w:color w:val="000000"/>
        </w:rPr>
        <w:t xml:space="preserve"> </w:t>
      </w:r>
      <w:r w:rsidRPr="003F6EEA">
        <w:rPr>
          <w:rFonts w:eastAsia="Times New Roman" w:hAnsi="Tahoma"/>
          <w:color w:val="000000"/>
        </w:rPr>
        <w:t>, C. C. Abbou</w:t>
      </w:r>
      <w:r w:rsidR="000131E8">
        <w:rPr>
          <w:rFonts w:eastAsia="Times New Roman" w:hAnsi="Tahoma"/>
          <w:color w:val="000000"/>
        </w:rPr>
        <w:t xml:space="preserve"> </w:t>
      </w:r>
      <w:r w:rsidRPr="003F6EEA">
        <w:rPr>
          <w:rFonts w:eastAsia="Times New Roman" w:hAnsi="Tahoma"/>
          <w:color w:val="000000"/>
        </w:rPr>
        <w:t>E. Eypasch, M. García. Caballero, M. A. Lumsden, B. Millat</w:t>
      </w:r>
      <w:r w:rsidR="000131E8">
        <w:rPr>
          <w:rFonts w:eastAsia="Times New Roman" w:hAnsi="Tahoma"/>
          <w:color w:val="000000"/>
        </w:rPr>
        <w:t xml:space="preserve">  </w:t>
      </w:r>
      <w:r w:rsidRPr="003F6EEA">
        <w:rPr>
          <w:rFonts w:eastAsia="Times New Roman" w:hAnsi="Tahoma"/>
          <w:color w:val="000000"/>
        </w:rPr>
        <w:t>J. R. T. Monson, G. Nilsson, R. Pointner, W. Schwenk, A. Shamiyeh</w:t>
      </w:r>
      <w:r w:rsidR="000131E8">
        <w:rPr>
          <w:rFonts w:eastAsia="Times New Roman" w:hAnsi="Tahoma"/>
          <w:color w:val="000000"/>
        </w:rPr>
        <w:t xml:space="preserve">, </w:t>
      </w: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A. Szold, E. Targarona, B. Ure and E. Neugebauer . Review article: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Evaluation of quality of life after laparoscopic surgery. Evidence-based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guidelines of the European Association for Endoscopic Surgery. Surg Endosc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2004; 18: 879-897.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10. Korolija D, Tadić S, Šimić D. Extent of oncological resection in laparoscopic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vs. open colorectal surgery: meta-analysis. Langenbecks Arch Surg 2003,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387:366-71-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MEDLINE, SCOPUS, EMBASE – 8 publikacija, 236 Scopus citata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1.Pavlovic DB, Tonkovic D, Korolija-Marinic D, Drvar Z, Baronica R. Heparin-induced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thrpmobytopenia. Pharmaca 2008. </w:t>
      </w:r>
      <w:r w:rsidRPr="003F6EEA">
        <w:rPr>
          <w:rFonts w:eastAsia="Times New Roman" w:hAnsi="Tahoma"/>
          <w:color w:val="000000"/>
        </w:rPr>
        <w:cr/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2. Korolija D, Tadic S, Kopjar M, Ivankovic D. Operating time and hospital stay in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laparoscopic vs open colorectal surgery. Meta-analysis. Surg Endosc 2002; 16(Suppl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1): S28.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3. Korolija D, Tadic S, Augustin V, Romic B. Blood loss in laparoscopic vs open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colorectal surgery. Meta-analysis. Surg Endosc 2002; 16(Suppl 1): S253.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4. Korolija D, Romic B, Škegro M, Tadic S, Augustin V. Laparoscopic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cholecystectomy with Ultracision. Surg Endosc 2003; 17(Suppl 1): S111.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5. Korolija D, Škegro M, Vegar-Brozović V, Markicevic A, Predrijevac D, Lefering R.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/>
          <w:color w:val="000000"/>
        </w:rPr>
      </w:pPr>
      <w:r w:rsidRPr="003F6EEA">
        <w:rPr>
          <w:rFonts w:eastAsia="Times New Roman" w:hAnsi="Tahoma"/>
          <w:color w:val="000000"/>
        </w:rPr>
        <w:t xml:space="preserve">Quality-of-care after laparoscopic cholecystectomy. Surgical Endoscopy 2005; 19 </w:t>
      </w:r>
    </w:p>
    <w:p w:rsidR="003F6EEA" w:rsidRPr="003F6EEA" w:rsidRDefault="003F6EEA" w:rsidP="003F6EEA">
      <w:pPr>
        <w:widowControl/>
        <w:wordWrap/>
        <w:jc w:val="left"/>
        <w:rPr>
          <w:rFonts w:eastAsia="Times New Roman" w:hAnsi="Tahoma" w:hint="eastAsia"/>
          <w:color w:val="000000"/>
        </w:rPr>
      </w:pPr>
      <w:r w:rsidRPr="003F6EEA">
        <w:rPr>
          <w:rFonts w:eastAsia="Times New Roman" w:hAnsi="Tahoma"/>
          <w:color w:val="000000"/>
        </w:rPr>
        <w:t>(Suppl): S106</w:t>
      </w:r>
    </w:p>
    <w:sectPr w:rsidR="003F6EEA" w:rsidRPr="003F6EEA">
      <w:endnotePr>
        <w:numFmt w:val="decimal"/>
      </w:endnotePr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47" w:rsidRDefault="00955647">
      <w:r>
        <w:separator/>
      </w:r>
    </w:p>
  </w:endnote>
  <w:endnote w:type="continuationSeparator" w:id="1">
    <w:p w:rsidR="00955647" w:rsidRDefault="0095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47" w:rsidRDefault="00955647">
      <w:r>
        <w:separator/>
      </w:r>
    </w:p>
  </w:footnote>
  <w:footnote w:type="continuationSeparator" w:id="1">
    <w:p w:rsidR="00955647" w:rsidRDefault="00955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6"/>
    <w:multiLevelType w:val="singleLevel"/>
    <w:tmpl w:val="0000000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ahoma" w:eastAsia="Tahoma" w:hAnsi="Tahoma" w:hint="default"/>
        <w:b w:val="0"/>
        <w:color w:val="000000"/>
        <w:w w:val="100"/>
        <w:sz w:val="20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1B3D22"/>
    <w:rsid w:val="000131E8"/>
    <w:rsid w:val="000760AF"/>
    <w:rsid w:val="001B3D22"/>
    <w:rsid w:val="003F6EEA"/>
    <w:rsid w:val="00955647"/>
    <w:rsid w:val="00981F72"/>
    <w:rsid w:val="00C1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Tahoma"/>
      <w:kern w:val="2"/>
      <w:szCs w:val="24"/>
      <w:lang w:val="en-US" w:eastAsia="ko-K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1278</Words>
  <Characters>7285</Characters>
  <Application>Microsoft Office Word</Application>
  <DocSecurity>0</DocSecurity>
  <Lines>60</Lines>
  <Paragraphs>17</Paragraphs>
  <Notes>0</Note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Remetine?ka cesta 102f, 1000 ZAGREB, HRVATSKA</vt:lpstr>
    </vt:vector>
  </TitlesOfParts>
  <Company>HZZO</Company>
  <LinksUpToDate>false</LinksUpToDate>
  <CharactersWithSpaces>8546</CharactersWithSpaces>
  <SharedDoc>false</SharedDoc>
  <HLinks>
    <vt:vector size="6" baseType="variant">
      <vt:variant>
        <vt:i4>983138</vt:i4>
      </vt:variant>
      <vt:variant>
        <vt:i4>0</vt:i4>
      </vt:variant>
      <vt:variant>
        <vt:i4>0</vt:i4>
      </vt:variant>
      <vt:variant>
        <vt:i4>5</vt:i4>
      </vt:variant>
      <vt:variant>
        <vt:lpwstr>mailto:Dijana.Cimera@hzzo.hr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Remetine?ka cesta 102f, 1000 ZAGREB, HRVATSKA</dc:title>
  <dc:subject/>
  <dc:creator>dcimera</dc:creator>
  <cp:keywords/>
  <cp:lastModifiedBy>Vesna Rems</cp:lastModifiedBy>
  <cp:revision>4</cp:revision>
  <dcterms:created xsi:type="dcterms:W3CDTF">2014-06-18T17:29:00Z</dcterms:created>
  <dcterms:modified xsi:type="dcterms:W3CDTF">2014-06-18T17:42:00Z</dcterms:modified>
</cp:coreProperties>
</file>